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E805F">
      <w:pPr>
        <w:jc w:val="center"/>
        <w:rPr>
          <w:rFonts w:hint="eastAsia" w:ascii="宋体" w:hAnsi="宋体" w:eastAsia="宋体" w:cs="宋体"/>
          <w:b/>
          <w:bCs/>
          <w:sz w:val="48"/>
          <w:szCs w:val="48"/>
          <w:shd w:val="clear" w:color="auto" w:fill="auto"/>
        </w:rPr>
      </w:pPr>
      <w:r>
        <w:rPr>
          <w:rFonts w:hint="eastAsia" w:eastAsia="方正小标宋_GBK"/>
          <w:b/>
          <w:bCs/>
          <w:sz w:val="48"/>
          <w:szCs w:val="48"/>
        </w:rPr>
        <w:t>2023</w:t>
      </w:r>
      <w:r>
        <w:rPr>
          <w:rFonts w:hint="eastAsia" w:ascii="宋体" w:hAnsi="宋体" w:eastAsia="宋体" w:cs="宋体"/>
          <w:b/>
          <w:bCs/>
          <w:sz w:val="48"/>
          <w:szCs w:val="48"/>
          <w:shd w:val="clear" w:color="auto" w:fill="auto"/>
        </w:rPr>
        <w:t>年度江永县</w:t>
      </w:r>
      <w:r>
        <w:rPr>
          <w:rFonts w:hint="eastAsia" w:ascii="宋体" w:hAnsi="宋体" w:eastAsia="宋体" w:cs="宋体"/>
          <w:b/>
          <w:bCs/>
          <w:sz w:val="48"/>
          <w:szCs w:val="48"/>
          <w:shd w:val="clear" w:color="auto" w:fill="auto"/>
          <w:lang w:eastAsia="zh-CN"/>
        </w:rPr>
        <w:t>民族中学</w:t>
      </w:r>
      <w:r>
        <w:rPr>
          <w:rFonts w:hint="eastAsia" w:ascii="宋体" w:hAnsi="宋体" w:eastAsia="宋体" w:cs="宋体"/>
          <w:b/>
          <w:bCs/>
          <w:sz w:val="48"/>
          <w:szCs w:val="48"/>
          <w:shd w:val="clear" w:color="auto" w:fill="auto"/>
        </w:rPr>
        <w:t>整体支出</w:t>
      </w:r>
    </w:p>
    <w:p w14:paraId="42A1F13F">
      <w:pPr>
        <w:jc w:val="center"/>
        <w:rPr>
          <w:rFonts w:hint="eastAsia" w:ascii="宋体" w:hAnsi="宋体" w:eastAsia="宋体" w:cs="宋体"/>
          <w:b/>
          <w:bCs/>
          <w:sz w:val="48"/>
          <w:szCs w:val="48"/>
          <w:shd w:val="clear" w:color="auto" w:fill="auto"/>
        </w:rPr>
      </w:pPr>
      <w:r>
        <w:rPr>
          <w:rFonts w:hint="eastAsia" w:ascii="宋体" w:hAnsi="宋体" w:eastAsia="宋体" w:cs="宋体"/>
          <w:b/>
          <w:bCs/>
          <w:sz w:val="48"/>
          <w:szCs w:val="48"/>
          <w:shd w:val="clear" w:color="auto" w:fill="auto"/>
        </w:rPr>
        <w:t>绩效自评报告</w:t>
      </w:r>
    </w:p>
    <w:p w14:paraId="27D32AFE">
      <w:pPr>
        <w:jc w:val="center"/>
        <w:rPr>
          <w:rFonts w:eastAsia="楷体_GB2312"/>
          <w:b/>
          <w:sz w:val="32"/>
          <w:szCs w:val="32"/>
        </w:rPr>
      </w:pPr>
    </w:p>
    <w:p w14:paraId="28FBEDF5">
      <w:pPr>
        <w:jc w:val="center"/>
        <w:rPr>
          <w:rFonts w:eastAsia="黑体"/>
          <w:sz w:val="32"/>
          <w:szCs w:val="32"/>
        </w:rPr>
      </w:pPr>
    </w:p>
    <w:p w14:paraId="4F2773C1">
      <w:pPr>
        <w:jc w:val="center"/>
        <w:rPr>
          <w:rFonts w:eastAsia="黑体"/>
          <w:sz w:val="32"/>
          <w:szCs w:val="32"/>
        </w:rPr>
      </w:pPr>
    </w:p>
    <w:p w14:paraId="53345157">
      <w:pPr>
        <w:jc w:val="center"/>
        <w:rPr>
          <w:rFonts w:eastAsia="黑体"/>
          <w:sz w:val="32"/>
          <w:szCs w:val="32"/>
        </w:rPr>
      </w:pPr>
    </w:p>
    <w:p w14:paraId="45075503">
      <w:pPr>
        <w:jc w:val="center"/>
        <w:rPr>
          <w:rFonts w:eastAsia="黑体"/>
          <w:sz w:val="32"/>
          <w:szCs w:val="32"/>
        </w:rPr>
      </w:pPr>
    </w:p>
    <w:p w14:paraId="3F12BC7F">
      <w:pPr>
        <w:jc w:val="center"/>
        <w:rPr>
          <w:rFonts w:eastAsia="黑体"/>
          <w:sz w:val="32"/>
          <w:szCs w:val="32"/>
        </w:rPr>
      </w:pPr>
    </w:p>
    <w:p w14:paraId="3007C055">
      <w:pPr>
        <w:jc w:val="center"/>
        <w:rPr>
          <w:rFonts w:eastAsia="黑体"/>
          <w:sz w:val="32"/>
          <w:szCs w:val="32"/>
        </w:rPr>
      </w:pPr>
    </w:p>
    <w:p w14:paraId="44F684D3">
      <w:pPr>
        <w:jc w:val="center"/>
        <w:rPr>
          <w:rFonts w:eastAsia="黑体"/>
          <w:sz w:val="32"/>
          <w:szCs w:val="32"/>
        </w:rPr>
      </w:pPr>
    </w:p>
    <w:p w14:paraId="334C40F6">
      <w:pPr>
        <w:ind w:firstLine="880" w:firstLineChars="200"/>
        <w:jc w:val="center"/>
        <w:rPr>
          <w:rFonts w:eastAsia="黑体"/>
          <w:sz w:val="44"/>
          <w:szCs w:val="44"/>
        </w:rPr>
      </w:pPr>
    </w:p>
    <w:p w14:paraId="05466BB2">
      <w:pPr>
        <w:ind w:firstLine="880" w:firstLineChars="200"/>
        <w:jc w:val="center"/>
        <w:rPr>
          <w:rFonts w:eastAsia="黑体"/>
          <w:sz w:val="44"/>
          <w:szCs w:val="44"/>
        </w:rPr>
      </w:pPr>
    </w:p>
    <w:p w14:paraId="1A69F4CB">
      <w:pPr>
        <w:ind w:firstLine="880" w:firstLineChars="200"/>
        <w:jc w:val="center"/>
        <w:rPr>
          <w:rFonts w:eastAsia="黑体"/>
          <w:sz w:val="44"/>
          <w:szCs w:val="44"/>
        </w:rPr>
      </w:pPr>
    </w:p>
    <w:p w14:paraId="318A30B0">
      <w:pPr>
        <w:ind w:firstLine="720" w:firstLineChars="200"/>
        <w:jc w:val="center"/>
        <w:rPr>
          <w:rFonts w:eastAsia="黑体"/>
          <w:sz w:val="36"/>
          <w:szCs w:val="36"/>
        </w:rPr>
      </w:pPr>
      <w:r>
        <w:rPr>
          <w:rFonts w:eastAsia="黑体"/>
          <w:sz w:val="36"/>
          <w:szCs w:val="36"/>
        </w:rPr>
        <w:t>单位名称（盖章）：</w:t>
      </w:r>
    </w:p>
    <w:p w14:paraId="4C0D0B63">
      <w:pPr>
        <w:jc w:val="center"/>
        <w:rPr>
          <w:rFonts w:eastAsia="黑体"/>
          <w:sz w:val="36"/>
          <w:szCs w:val="36"/>
        </w:rPr>
      </w:pPr>
    </w:p>
    <w:p w14:paraId="13EB97CD">
      <w:pPr>
        <w:rPr>
          <w:rFonts w:eastAsia="黑体"/>
          <w:sz w:val="32"/>
          <w:szCs w:val="32"/>
        </w:rPr>
      </w:pPr>
    </w:p>
    <w:p w14:paraId="1A73D6E1">
      <w:pPr>
        <w:jc w:val="center"/>
        <w:rPr>
          <w:rFonts w:eastAsia="黑体"/>
          <w:sz w:val="32"/>
          <w:szCs w:val="32"/>
        </w:rPr>
      </w:pPr>
    </w:p>
    <w:p w14:paraId="231627D2">
      <w:pPr>
        <w:jc w:val="center"/>
        <w:rPr>
          <w:rFonts w:hint="eastAsia" w:ascii="宋体" w:hAnsi="宋体" w:eastAsia="宋体" w:cs="宋体"/>
          <w:sz w:val="32"/>
          <w:szCs w:val="32"/>
        </w:rPr>
      </w:pPr>
      <w:r>
        <w:rPr>
          <w:rFonts w:hint="eastAsia" w:ascii="宋体" w:hAnsi="宋体" w:eastAsia="宋体" w:cs="宋体"/>
          <w:sz w:val="32"/>
          <w:szCs w:val="32"/>
        </w:rPr>
        <w:t>（此页为封面）</w:t>
      </w:r>
    </w:p>
    <w:p w14:paraId="240F46C3">
      <w:pPr>
        <w:jc w:val="center"/>
        <w:rPr>
          <w:rFonts w:eastAsia="仿宋_GB2312"/>
          <w:sz w:val="32"/>
          <w:szCs w:val="32"/>
        </w:rPr>
      </w:pPr>
    </w:p>
    <w:p w14:paraId="3D09AB67">
      <w:pPr>
        <w:spacing w:line="600" w:lineRule="exact"/>
        <w:jc w:val="center"/>
        <w:rPr>
          <w:rFonts w:hint="eastAsia" w:ascii="宋体" w:hAnsi="宋体" w:eastAsia="宋体" w:cs="宋体"/>
          <w:sz w:val="32"/>
          <w:szCs w:val="32"/>
        </w:rPr>
      </w:pPr>
      <w:r>
        <w:rPr>
          <w:rFonts w:eastAsia="仿宋_GB2312"/>
          <w:sz w:val="32"/>
          <w:szCs w:val="32"/>
        </w:rPr>
        <w:br w:type="page"/>
      </w:r>
      <w:r>
        <w:rPr>
          <w:rFonts w:hint="eastAsia" w:ascii="宋体" w:hAnsi="宋体" w:eastAsia="宋体" w:cs="宋体"/>
          <w:kern w:val="0"/>
          <w:sz w:val="44"/>
          <w:szCs w:val="44"/>
        </w:rPr>
        <w:t>2023年度江永县</w:t>
      </w:r>
      <w:r>
        <w:rPr>
          <w:rFonts w:hint="eastAsia" w:ascii="宋体" w:hAnsi="宋体" w:eastAsia="宋体" w:cs="宋体"/>
          <w:kern w:val="0"/>
          <w:sz w:val="44"/>
          <w:szCs w:val="44"/>
          <w:lang w:eastAsia="zh-CN"/>
        </w:rPr>
        <w:t>民族中学</w:t>
      </w:r>
      <w:r>
        <w:rPr>
          <w:rFonts w:hint="eastAsia" w:ascii="宋体" w:hAnsi="宋体" w:eastAsia="宋体" w:cs="宋体"/>
          <w:kern w:val="0"/>
          <w:sz w:val="44"/>
          <w:szCs w:val="44"/>
        </w:rPr>
        <w:t>整体支出绩效</w:t>
      </w:r>
    </w:p>
    <w:p w14:paraId="1BE2146C">
      <w:pPr>
        <w:spacing w:line="600" w:lineRule="exact"/>
        <w:jc w:val="center"/>
        <w:rPr>
          <w:rFonts w:hint="eastAsia" w:ascii="宋体" w:hAnsi="宋体" w:eastAsia="宋体" w:cs="宋体"/>
          <w:kern w:val="0"/>
          <w:sz w:val="44"/>
          <w:szCs w:val="44"/>
        </w:rPr>
      </w:pPr>
      <w:r>
        <w:rPr>
          <w:rFonts w:hint="eastAsia" w:ascii="宋体" w:hAnsi="宋体" w:eastAsia="宋体" w:cs="宋体"/>
          <w:kern w:val="0"/>
          <w:sz w:val="44"/>
          <w:szCs w:val="44"/>
        </w:rPr>
        <w:t>自评报告</w:t>
      </w:r>
    </w:p>
    <w:p w14:paraId="0B51390D">
      <w:pPr>
        <w:spacing w:line="600" w:lineRule="exact"/>
        <w:ind w:firstLine="602" w:firstLineChars="200"/>
        <w:rPr>
          <w:rFonts w:hint="eastAsia" w:ascii="仿宋" w:hAnsi="仿宋" w:eastAsia="仿宋" w:cs="仿宋"/>
          <w:b/>
          <w:bCs/>
          <w:kern w:val="0"/>
          <w:sz w:val="30"/>
          <w:szCs w:val="30"/>
        </w:rPr>
      </w:pPr>
      <w:r>
        <w:rPr>
          <w:rFonts w:hint="eastAsia" w:ascii="仿宋" w:hAnsi="仿宋" w:eastAsia="仿宋" w:cs="仿宋"/>
          <w:b/>
          <w:bCs/>
          <w:kern w:val="0"/>
          <w:sz w:val="30"/>
          <w:szCs w:val="30"/>
        </w:rPr>
        <w:t>一、基本情况</w:t>
      </w:r>
    </w:p>
    <w:p w14:paraId="2F83CE7F">
      <w:pPr>
        <w:spacing w:line="600" w:lineRule="exact"/>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rPr>
        <w:t>（一）单位基本情况</w:t>
      </w:r>
    </w:p>
    <w:p w14:paraId="3BDB436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江永县民族中学现有占地面积45768.99平方米，校舍面积22669.77平方米。六大功能室齐全，分别有:音乐室1个、美术室1个、多功能计算机室2个、理化生实验室各2个、图书室1个、阅览室2个，教学设施完备。学校教职工数116人，专业教师人数104人，市学科带头人1人，市骨干教师1人，县名师3人，县学科带头人2人，县骨干教师7人，专业教师学历合格率100%。学生人数1651、班级数33个，已全部消除大班额。</w:t>
      </w:r>
    </w:p>
    <w:p w14:paraId="46EE7A1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我校遵循党和各级政府教育部门对学校特色教育建设的指导方针，探索“三位一体”的特色教育建设理念，即“红色育人、国学立人、体艺塑人”。以精神文明建设为核心，以国学思想教育为主线，以体艺活动开展为平台，打造具有时代特征学校特色的教育模式。</w:t>
      </w:r>
    </w:p>
    <w:p w14:paraId="3BBE6776">
      <w:pPr>
        <w:spacing w:line="600" w:lineRule="exact"/>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rPr>
        <w:t>（二）项目绩效目标</w:t>
      </w:r>
    </w:p>
    <w:p w14:paraId="6ADC0458">
      <w:pPr>
        <w:spacing w:line="600" w:lineRule="exact"/>
        <w:ind w:firstLine="560" w:firstLineChars="200"/>
        <w:rPr>
          <w:rFonts w:hint="eastAsia" w:ascii="仿宋" w:hAnsi="仿宋" w:eastAsia="仿宋" w:cs="仿宋"/>
          <w:kern w:val="0"/>
          <w:sz w:val="28"/>
          <w:szCs w:val="28"/>
          <w:lang w:eastAsia="zh-CN"/>
        </w:rPr>
      </w:pPr>
      <w:r>
        <w:rPr>
          <w:rFonts w:hint="eastAsia" w:ascii="仿宋" w:hAnsi="仿宋" w:eastAsia="仿宋" w:cs="仿宋"/>
          <w:kern w:val="0"/>
          <w:sz w:val="28"/>
          <w:szCs w:val="28"/>
        </w:rPr>
        <w:t>目标：按照国家政策法规规定和本单位实际情况，建立健全财务基础管理制度和约束机制，依法、有效地使用财政资金，提高财政资金使用效率，在完成单位职能目标中合理分配人、财、物，使之达到较高的工作效率和水平</w:t>
      </w:r>
      <w:r>
        <w:rPr>
          <w:rFonts w:hint="eastAsia" w:ascii="仿宋" w:hAnsi="仿宋" w:eastAsia="仿宋" w:cs="仿宋"/>
          <w:kern w:val="0"/>
          <w:sz w:val="28"/>
          <w:szCs w:val="28"/>
          <w:lang w:eastAsia="zh-CN"/>
        </w:rPr>
        <w:t>，提高学校的教育教学质量。</w:t>
      </w:r>
    </w:p>
    <w:p w14:paraId="3DDBAB6C">
      <w:pPr>
        <w:spacing w:line="600" w:lineRule="exact"/>
        <w:ind w:firstLine="602" w:firstLineChars="200"/>
        <w:rPr>
          <w:rFonts w:hint="eastAsia" w:ascii="仿宋" w:hAnsi="仿宋" w:eastAsia="仿宋" w:cs="仿宋"/>
          <w:b/>
          <w:bCs/>
          <w:kern w:val="0"/>
          <w:sz w:val="30"/>
          <w:szCs w:val="30"/>
        </w:rPr>
      </w:pPr>
      <w:r>
        <w:rPr>
          <w:rFonts w:hint="eastAsia" w:ascii="仿宋" w:hAnsi="仿宋" w:eastAsia="仿宋" w:cs="仿宋"/>
          <w:b/>
          <w:bCs/>
          <w:kern w:val="0"/>
          <w:sz w:val="30"/>
          <w:szCs w:val="30"/>
        </w:rPr>
        <w:t>二</w:t>
      </w:r>
      <w:r>
        <w:rPr>
          <w:rFonts w:hint="eastAsia" w:ascii="仿宋" w:hAnsi="仿宋" w:eastAsia="仿宋" w:cs="仿宋"/>
          <w:b/>
          <w:bCs/>
          <w:color w:val="000000"/>
          <w:kern w:val="0"/>
          <w:sz w:val="30"/>
          <w:szCs w:val="30"/>
        </w:rPr>
        <w:t>、</w:t>
      </w:r>
      <w:r>
        <w:rPr>
          <w:rFonts w:hint="eastAsia" w:ascii="仿宋" w:hAnsi="仿宋" w:eastAsia="仿宋" w:cs="仿宋"/>
          <w:b/>
          <w:bCs/>
          <w:kern w:val="0"/>
          <w:sz w:val="30"/>
          <w:szCs w:val="30"/>
        </w:rPr>
        <w:t>一般公共预算支出情况</w:t>
      </w:r>
    </w:p>
    <w:p w14:paraId="34E9F848">
      <w:pPr>
        <w:spacing w:line="600" w:lineRule="exact"/>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rPr>
        <w:t>（一）基本支出情况</w:t>
      </w:r>
    </w:p>
    <w:p w14:paraId="5EF239E6">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江永县</w:t>
      </w:r>
      <w:r>
        <w:rPr>
          <w:rFonts w:hint="eastAsia" w:ascii="仿宋" w:hAnsi="仿宋" w:eastAsia="仿宋" w:cs="仿宋"/>
          <w:kern w:val="0"/>
          <w:sz w:val="28"/>
          <w:szCs w:val="28"/>
          <w:lang w:eastAsia="zh-CN"/>
        </w:rPr>
        <w:t>民族中学</w:t>
      </w:r>
      <w:r>
        <w:rPr>
          <w:rFonts w:hint="eastAsia" w:ascii="仿宋" w:hAnsi="仿宋" w:eastAsia="仿宋" w:cs="仿宋"/>
          <w:kern w:val="0"/>
          <w:sz w:val="28"/>
          <w:szCs w:val="28"/>
        </w:rPr>
        <w:t>基本支出资金</w:t>
      </w:r>
      <w:r>
        <w:rPr>
          <w:rFonts w:hint="eastAsia" w:ascii="仿宋" w:hAnsi="仿宋" w:eastAsia="仿宋" w:cs="仿宋"/>
          <w:kern w:val="0"/>
          <w:sz w:val="28"/>
          <w:szCs w:val="28"/>
          <w:lang w:val="en-US" w:eastAsia="zh-CN"/>
        </w:rPr>
        <w:t>778.63</w:t>
      </w:r>
      <w:r>
        <w:rPr>
          <w:rFonts w:hint="eastAsia" w:ascii="仿宋" w:hAnsi="仿宋" w:eastAsia="仿宋" w:cs="仿宋"/>
          <w:kern w:val="0"/>
          <w:sz w:val="28"/>
          <w:szCs w:val="28"/>
        </w:rPr>
        <w:t>万元。其中：人员经费</w:t>
      </w:r>
      <w:r>
        <w:rPr>
          <w:rFonts w:hint="eastAsia" w:ascii="仿宋" w:hAnsi="仿宋" w:eastAsia="仿宋" w:cs="仿宋"/>
          <w:kern w:val="0"/>
          <w:sz w:val="28"/>
          <w:szCs w:val="28"/>
          <w:lang w:val="en-US" w:eastAsia="zh-CN"/>
        </w:rPr>
        <w:t>653.49</w:t>
      </w:r>
      <w:r>
        <w:rPr>
          <w:rFonts w:hint="eastAsia" w:ascii="仿宋" w:hAnsi="仿宋" w:eastAsia="仿宋" w:cs="仿宋"/>
          <w:kern w:val="0"/>
          <w:sz w:val="28"/>
          <w:szCs w:val="28"/>
        </w:rPr>
        <w:t>万元，公用支出</w:t>
      </w:r>
      <w:r>
        <w:rPr>
          <w:rFonts w:hint="eastAsia" w:ascii="仿宋" w:hAnsi="仿宋" w:eastAsia="仿宋" w:cs="仿宋"/>
          <w:kern w:val="0"/>
          <w:sz w:val="28"/>
          <w:szCs w:val="28"/>
          <w:lang w:val="en-US" w:eastAsia="zh-CN"/>
        </w:rPr>
        <w:t>125.13</w:t>
      </w:r>
      <w:r>
        <w:rPr>
          <w:rFonts w:hint="eastAsia" w:ascii="仿宋" w:hAnsi="仿宋" w:eastAsia="仿宋" w:cs="仿宋"/>
          <w:kern w:val="0"/>
          <w:sz w:val="28"/>
          <w:szCs w:val="28"/>
        </w:rPr>
        <w:t>万元。</w:t>
      </w:r>
    </w:p>
    <w:p w14:paraId="52CF45A3">
      <w:pPr>
        <w:spacing w:line="600" w:lineRule="exact"/>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rPr>
        <w:t>（二）项目支出情况</w:t>
      </w:r>
    </w:p>
    <w:p w14:paraId="1FDB363C">
      <w:pPr>
        <w:spacing w:line="600" w:lineRule="exact"/>
        <w:ind w:firstLine="560" w:firstLineChars="200"/>
        <w:rPr>
          <w:rFonts w:hint="eastAsia" w:ascii="仿宋" w:hAnsi="仿宋" w:eastAsia="仿宋" w:cs="仿宋"/>
          <w:kern w:val="0"/>
          <w:sz w:val="28"/>
          <w:szCs w:val="28"/>
          <w:lang w:val="en-US" w:eastAsia="zh-CN"/>
        </w:rPr>
      </w:pPr>
      <w:r>
        <w:rPr>
          <w:rFonts w:hint="eastAsia" w:ascii="仿宋" w:hAnsi="仿宋" w:eastAsia="仿宋" w:cs="仿宋"/>
          <w:kern w:val="0"/>
          <w:sz w:val="28"/>
          <w:szCs w:val="28"/>
        </w:rPr>
        <w:t>县级专项资金</w:t>
      </w:r>
      <w:r>
        <w:rPr>
          <w:rFonts w:hint="eastAsia" w:ascii="仿宋" w:hAnsi="仿宋" w:eastAsia="仿宋" w:cs="仿宋"/>
          <w:kern w:val="0"/>
          <w:sz w:val="28"/>
          <w:szCs w:val="28"/>
          <w:lang w:val="en-US" w:eastAsia="zh-CN"/>
        </w:rPr>
        <w:t>110.57</w:t>
      </w:r>
      <w:r>
        <w:rPr>
          <w:rFonts w:hint="eastAsia" w:ascii="仿宋" w:hAnsi="仿宋" w:eastAsia="仿宋" w:cs="仿宋"/>
          <w:kern w:val="0"/>
          <w:sz w:val="28"/>
          <w:szCs w:val="28"/>
        </w:rPr>
        <w:t>万</w:t>
      </w:r>
      <w:r>
        <w:rPr>
          <w:rFonts w:hint="eastAsia" w:ascii="仿宋" w:hAnsi="仿宋" w:eastAsia="仿宋" w:cs="仿宋"/>
          <w:kern w:val="0"/>
          <w:sz w:val="28"/>
          <w:szCs w:val="28"/>
          <w:lang w:eastAsia="zh-CN"/>
        </w:rPr>
        <w:t>元，全部用于教育事业发展经费</w:t>
      </w:r>
      <w:r>
        <w:rPr>
          <w:rFonts w:hint="eastAsia" w:ascii="仿宋" w:hAnsi="仿宋" w:eastAsia="仿宋" w:cs="仿宋"/>
          <w:kern w:val="0"/>
          <w:sz w:val="28"/>
          <w:szCs w:val="28"/>
          <w:lang w:val="en-US" w:eastAsia="zh-CN"/>
        </w:rPr>
        <w:t>。</w:t>
      </w:r>
    </w:p>
    <w:p w14:paraId="707F6EF1">
      <w:pPr>
        <w:spacing w:line="600" w:lineRule="exact"/>
        <w:ind w:firstLine="602" w:firstLineChars="200"/>
        <w:rPr>
          <w:rFonts w:hint="eastAsia" w:ascii="仿宋" w:hAnsi="仿宋" w:eastAsia="仿宋" w:cs="仿宋"/>
          <w:b/>
          <w:bCs/>
          <w:kern w:val="0"/>
          <w:sz w:val="30"/>
          <w:szCs w:val="30"/>
        </w:rPr>
      </w:pPr>
      <w:r>
        <w:rPr>
          <w:rFonts w:hint="eastAsia" w:ascii="仿宋" w:hAnsi="仿宋" w:eastAsia="仿宋" w:cs="仿宋"/>
          <w:b/>
          <w:bCs/>
          <w:kern w:val="0"/>
          <w:sz w:val="30"/>
          <w:szCs w:val="30"/>
        </w:rPr>
        <w:t>三、绩效评价情况</w:t>
      </w:r>
    </w:p>
    <w:p w14:paraId="48B1DB0F">
      <w:pPr>
        <w:spacing w:line="600" w:lineRule="exact"/>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rPr>
        <w:t>（一）绩效评价的目的</w:t>
      </w:r>
    </w:p>
    <w:p w14:paraId="489F78C9">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通过绩效评价，能更具体了解我</w:t>
      </w:r>
      <w:r>
        <w:rPr>
          <w:rFonts w:hint="eastAsia" w:ascii="仿宋" w:hAnsi="仿宋" w:eastAsia="仿宋" w:cs="仿宋"/>
          <w:kern w:val="0"/>
          <w:sz w:val="28"/>
          <w:szCs w:val="28"/>
          <w:lang w:eastAsia="zh-CN"/>
        </w:rPr>
        <w:t>校</w:t>
      </w:r>
      <w:r>
        <w:rPr>
          <w:rFonts w:hint="eastAsia" w:ascii="仿宋" w:hAnsi="仿宋" w:eastAsia="仿宋" w:cs="仿宋"/>
          <w:kern w:val="0"/>
          <w:sz w:val="28"/>
          <w:szCs w:val="28"/>
        </w:rPr>
        <w:t>整体部门支出资金投入、分配和使用情况，资金管理制度、措施制定和实施情况，资金使用效果和资金项目目标实现情况。有利于总结经验，发现问题，及时改进。进一步加强我</w:t>
      </w:r>
      <w:r>
        <w:rPr>
          <w:rFonts w:hint="eastAsia" w:ascii="仿宋" w:hAnsi="仿宋" w:eastAsia="仿宋" w:cs="仿宋"/>
          <w:kern w:val="0"/>
          <w:sz w:val="28"/>
          <w:szCs w:val="28"/>
          <w:lang w:eastAsia="zh-CN"/>
        </w:rPr>
        <w:t>校</w:t>
      </w:r>
      <w:r>
        <w:rPr>
          <w:rFonts w:hint="eastAsia" w:ascii="仿宋" w:hAnsi="仿宋" w:eastAsia="仿宋" w:cs="仿宋"/>
          <w:kern w:val="0"/>
          <w:sz w:val="28"/>
          <w:szCs w:val="28"/>
        </w:rPr>
        <w:t>整体部门支出资金管理，提升</w:t>
      </w:r>
      <w:r>
        <w:rPr>
          <w:rFonts w:hint="eastAsia" w:ascii="仿宋" w:hAnsi="仿宋" w:eastAsia="仿宋" w:cs="仿宋"/>
          <w:kern w:val="0"/>
          <w:sz w:val="28"/>
          <w:szCs w:val="28"/>
          <w:lang w:eastAsia="zh-CN"/>
        </w:rPr>
        <w:t>我校教育教学质量</w:t>
      </w:r>
      <w:r>
        <w:rPr>
          <w:rFonts w:hint="eastAsia" w:ascii="仿宋" w:hAnsi="仿宋" w:eastAsia="仿宋" w:cs="仿宋"/>
          <w:kern w:val="0"/>
          <w:sz w:val="28"/>
          <w:szCs w:val="28"/>
        </w:rPr>
        <w:t>。实现资金使用效益最大化，提高政府管理效能和财政资金使用效益，切实保证财政资金安全。</w:t>
      </w:r>
    </w:p>
    <w:p w14:paraId="6BF215EC">
      <w:pPr>
        <w:spacing w:line="600" w:lineRule="exact"/>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rPr>
        <w:t>（二）绩效评价原则、评价指标体系、评价方法</w:t>
      </w:r>
    </w:p>
    <w:p w14:paraId="48607FEF">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1.评价原则：我们遵循“科学性、规范性、客观性和公正性”的原则，以</w:t>
      </w:r>
      <w:r>
        <w:rPr>
          <w:rFonts w:hint="eastAsia" w:ascii="仿宋" w:hAnsi="仿宋" w:eastAsia="仿宋" w:cs="仿宋"/>
          <w:sz w:val="28"/>
          <w:szCs w:val="28"/>
        </w:rPr>
        <w:t>《江永县预算支出绩效评价管理办法》(江永财发〔2024〕3号 )、《江永县县级预算部门绩效自评操作规程》(江永财发〔2023〕39 号 )</w:t>
      </w:r>
      <w:r>
        <w:rPr>
          <w:rFonts w:hint="eastAsia" w:ascii="仿宋" w:hAnsi="仿宋" w:eastAsia="仿宋" w:cs="仿宋"/>
          <w:kern w:val="0"/>
          <w:sz w:val="28"/>
          <w:szCs w:val="28"/>
        </w:rPr>
        <w:t>文件精神，以及中央、省有关预算绩效管理的政策规定、财务会计制度等为指导，由点到面、稳步推进，对我</w:t>
      </w:r>
      <w:r>
        <w:rPr>
          <w:rFonts w:hint="eastAsia" w:ascii="仿宋" w:hAnsi="仿宋" w:eastAsia="仿宋" w:cs="仿宋"/>
          <w:kern w:val="0"/>
          <w:sz w:val="28"/>
          <w:szCs w:val="28"/>
          <w:lang w:eastAsia="zh-CN"/>
        </w:rPr>
        <w:t>校</w:t>
      </w:r>
      <w:r>
        <w:rPr>
          <w:rFonts w:hint="eastAsia" w:ascii="仿宋" w:hAnsi="仿宋" w:eastAsia="仿宋" w:cs="仿宋"/>
          <w:kern w:val="0"/>
          <w:sz w:val="28"/>
          <w:szCs w:val="28"/>
        </w:rPr>
        <w:t>整体部门支出资金的管理及产生</w:t>
      </w:r>
      <w:r>
        <w:rPr>
          <w:rFonts w:hint="eastAsia" w:ascii="仿宋" w:hAnsi="仿宋" w:eastAsia="仿宋" w:cs="仿宋"/>
          <w:kern w:val="0"/>
          <w:sz w:val="28"/>
          <w:szCs w:val="28"/>
          <w:lang w:eastAsia="zh-CN"/>
        </w:rPr>
        <w:t>的</w:t>
      </w:r>
      <w:r>
        <w:rPr>
          <w:rFonts w:hint="eastAsia" w:ascii="仿宋" w:hAnsi="仿宋" w:eastAsia="仿宋" w:cs="仿宋"/>
          <w:kern w:val="0"/>
          <w:sz w:val="28"/>
          <w:szCs w:val="28"/>
        </w:rPr>
        <w:t>社会效益进行自我评价。</w:t>
      </w:r>
    </w:p>
    <w:p w14:paraId="30C8C6ED">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2.评价指标体系：设</w:t>
      </w:r>
      <w:r>
        <w:rPr>
          <w:rFonts w:hint="eastAsia" w:ascii="仿宋" w:hAnsi="仿宋" w:eastAsia="仿宋" w:cs="仿宋"/>
          <w:kern w:val="0"/>
          <w:sz w:val="28"/>
          <w:szCs w:val="28"/>
          <w:lang w:eastAsia="zh-CN"/>
        </w:rPr>
        <w:t>投入管理、</w:t>
      </w:r>
      <w:r>
        <w:rPr>
          <w:rFonts w:hint="eastAsia" w:ascii="仿宋" w:hAnsi="仿宋" w:eastAsia="仿宋" w:cs="仿宋"/>
          <w:kern w:val="0"/>
          <w:sz w:val="28"/>
          <w:szCs w:val="28"/>
        </w:rPr>
        <w:t>产出</w:t>
      </w:r>
      <w:r>
        <w:rPr>
          <w:rFonts w:hint="eastAsia" w:ascii="仿宋" w:hAnsi="仿宋" w:eastAsia="仿宋" w:cs="仿宋"/>
          <w:kern w:val="0"/>
          <w:sz w:val="28"/>
          <w:szCs w:val="28"/>
          <w:lang w:eastAsia="zh-CN"/>
        </w:rPr>
        <w:t>和</w:t>
      </w:r>
      <w:r>
        <w:rPr>
          <w:rFonts w:hint="eastAsia" w:ascii="仿宋" w:hAnsi="仿宋" w:eastAsia="仿宋" w:cs="仿宋"/>
          <w:kern w:val="0"/>
          <w:sz w:val="28"/>
          <w:szCs w:val="28"/>
        </w:rPr>
        <w:t>效</w:t>
      </w:r>
      <w:r>
        <w:rPr>
          <w:rFonts w:hint="eastAsia" w:ascii="仿宋" w:hAnsi="仿宋" w:eastAsia="仿宋" w:cs="仿宋"/>
          <w:kern w:val="0"/>
          <w:sz w:val="28"/>
          <w:szCs w:val="28"/>
          <w:lang w:eastAsia="zh-CN"/>
        </w:rPr>
        <w:t>益</w:t>
      </w:r>
      <w:r>
        <w:rPr>
          <w:rFonts w:hint="eastAsia" w:ascii="仿宋" w:hAnsi="仿宋" w:eastAsia="仿宋" w:cs="仿宋"/>
          <w:kern w:val="0"/>
          <w:sz w:val="28"/>
          <w:szCs w:val="28"/>
          <w:lang w:val="en-US" w:eastAsia="zh-CN"/>
        </w:rPr>
        <w:t>3</w:t>
      </w:r>
      <w:r>
        <w:rPr>
          <w:rFonts w:hint="eastAsia" w:ascii="仿宋" w:hAnsi="仿宋" w:eastAsia="仿宋" w:cs="仿宋"/>
          <w:kern w:val="0"/>
          <w:sz w:val="28"/>
          <w:szCs w:val="28"/>
        </w:rPr>
        <w:t>个一级指标、下分</w:t>
      </w:r>
      <w:r>
        <w:rPr>
          <w:rFonts w:hint="eastAsia" w:ascii="仿宋" w:hAnsi="仿宋" w:eastAsia="仿宋" w:cs="仿宋"/>
          <w:kern w:val="0"/>
          <w:sz w:val="28"/>
          <w:szCs w:val="28"/>
          <w:lang w:val="en-US" w:eastAsia="zh-CN"/>
        </w:rPr>
        <w:t>8</w:t>
      </w:r>
      <w:r>
        <w:rPr>
          <w:rFonts w:hint="eastAsia" w:ascii="仿宋" w:hAnsi="仿宋" w:eastAsia="仿宋" w:cs="仿宋"/>
          <w:kern w:val="0"/>
          <w:sz w:val="28"/>
          <w:szCs w:val="28"/>
        </w:rPr>
        <w:t>个二级指标和</w:t>
      </w:r>
      <w:r>
        <w:rPr>
          <w:rFonts w:hint="eastAsia" w:ascii="仿宋" w:hAnsi="仿宋" w:eastAsia="仿宋" w:cs="仿宋"/>
          <w:kern w:val="0"/>
          <w:sz w:val="28"/>
          <w:szCs w:val="28"/>
          <w:lang w:val="en-US" w:eastAsia="zh-CN"/>
        </w:rPr>
        <w:t>45</w:t>
      </w:r>
      <w:r>
        <w:rPr>
          <w:rFonts w:hint="eastAsia" w:ascii="仿宋" w:hAnsi="仿宋" w:eastAsia="仿宋" w:cs="仿宋"/>
          <w:kern w:val="0"/>
          <w:sz w:val="28"/>
          <w:szCs w:val="28"/>
        </w:rPr>
        <w:t>个三级指标，按照评价指标设定评价内容，分值为9</w:t>
      </w:r>
      <w:r>
        <w:rPr>
          <w:rFonts w:hint="eastAsia" w:ascii="仿宋" w:hAnsi="仿宋" w:eastAsia="仿宋" w:cs="仿宋"/>
          <w:kern w:val="0"/>
          <w:sz w:val="28"/>
          <w:szCs w:val="28"/>
          <w:lang w:val="en-US" w:eastAsia="zh-CN"/>
        </w:rPr>
        <w:t>5</w:t>
      </w:r>
      <w:r>
        <w:rPr>
          <w:rFonts w:hint="eastAsia" w:ascii="仿宋" w:hAnsi="仿宋" w:eastAsia="仿宋" w:cs="仿宋"/>
          <w:kern w:val="0"/>
          <w:sz w:val="28"/>
          <w:szCs w:val="28"/>
        </w:rPr>
        <w:t>分。（详见评价指标体系评分表）</w:t>
      </w:r>
    </w:p>
    <w:p w14:paraId="5FE10B61">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3.评价方法：（1）成本效益分析法。是指将一定时期内的支出与效益进行对比分析，以评价绩效目标实现程度。（2）比较法。是指通过对绩效目标与实施效果、历史与当期情况、不同部门和地区同类支出的比较，符合分析绩效目标实现程度。（3）因素分析法。是指通过综合分析影响绩效目标实现、实施效果的内外因素、评价绩效目标实现程度。（4）最低成本法。是指对效益确定却不易计量的多个同类对象的实施成本进行比较，评价绩效目标实现程度。（5）公众评判法，是指通过专家评估、公众问卷及抽样调查等对财政支出效果进行评判，评价绩效目标实现程度。</w:t>
      </w:r>
    </w:p>
    <w:p w14:paraId="650329A6">
      <w:pPr>
        <w:spacing w:line="600" w:lineRule="exact"/>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rPr>
        <w:t>（三）绩效评价工作过程</w:t>
      </w:r>
    </w:p>
    <w:p w14:paraId="010BE1A0">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1.前期准备：</w:t>
      </w:r>
      <w:r>
        <w:rPr>
          <w:rFonts w:hint="eastAsia" w:ascii="仿宋" w:hAnsi="仿宋" w:eastAsia="仿宋" w:cs="仿宋"/>
          <w:kern w:val="0"/>
          <w:sz w:val="28"/>
          <w:szCs w:val="28"/>
          <w:lang w:eastAsia="zh-CN"/>
        </w:rPr>
        <w:t>财务室</w:t>
      </w:r>
      <w:r>
        <w:rPr>
          <w:rFonts w:hint="eastAsia" w:ascii="仿宋" w:hAnsi="仿宋" w:eastAsia="仿宋" w:cs="仿宋"/>
          <w:kern w:val="0"/>
          <w:sz w:val="28"/>
          <w:szCs w:val="28"/>
        </w:rPr>
        <w:t>年底，制定评价实施方案，确定现场评价时间。</w:t>
      </w:r>
    </w:p>
    <w:p w14:paraId="4BDEA8B7">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2.组织实施。办公室、</w:t>
      </w:r>
      <w:r>
        <w:rPr>
          <w:rFonts w:hint="eastAsia" w:ascii="仿宋" w:hAnsi="仿宋" w:eastAsia="仿宋" w:cs="仿宋"/>
          <w:kern w:val="0"/>
          <w:sz w:val="28"/>
          <w:szCs w:val="28"/>
          <w:lang w:eastAsia="zh-CN"/>
        </w:rPr>
        <w:t>总务处</w:t>
      </w:r>
      <w:r>
        <w:rPr>
          <w:rFonts w:hint="eastAsia" w:ascii="仿宋" w:hAnsi="仿宋" w:eastAsia="仿宋" w:cs="仿宋"/>
          <w:kern w:val="0"/>
          <w:sz w:val="28"/>
          <w:szCs w:val="28"/>
        </w:rPr>
        <w:t>做好基础数据资料的收集、整理，填写报表、撰写自评报告，根据有关规定的要求，整理、综合分析相关信息，撰写、修改绩效评价报告初稿，并上报县财政局绩效股。</w:t>
      </w:r>
    </w:p>
    <w:p w14:paraId="2F23E9CC">
      <w:pPr>
        <w:spacing w:line="600" w:lineRule="exact"/>
        <w:ind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rPr>
        <w:t>（四）项目绩效情况分析</w:t>
      </w:r>
    </w:p>
    <w:p w14:paraId="0069EDA6">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1.经济性分析。2023年我</w:t>
      </w:r>
      <w:r>
        <w:rPr>
          <w:rFonts w:hint="eastAsia" w:ascii="仿宋" w:hAnsi="仿宋" w:eastAsia="仿宋" w:cs="仿宋"/>
          <w:kern w:val="0"/>
          <w:sz w:val="28"/>
          <w:szCs w:val="28"/>
          <w:lang w:eastAsia="zh-CN"/>
        </w:rPr>
        <w:t>校</w:t>
      </w:r>
      <w:r>
        <w:rPr>
          <w:rFonts w:hint="eastAsia" w:ascii="仿宋" w:hAnsi="仿宋" w:eastAsia="仿宋" w:cs="仿宋"/>
          <w:kern w:val="0"/>
          <w:sz w:val="28"/>
          <w:szCs w:val="28"/>
        </w:rPr>
        <w:t>整体部门支出资金</w:t>
      </w:r>
      <w:r>
        <w:rPr>
          <w:rFonts w:hint="eastAsia" w:ascii="仿宋" w:hAnsi="仿宋" w:eastAsia="仿宋" w:cs="仿宋"/>
          <w:kern w:val="0"/>
          <w:sz w:val="28"/>
          <w:szCs w:val="28"/>
          <w:lang w:val="en-US" w:eastAsia="zh-CN"/>
        </w:rPr>
        <w:t>889.2</w:t>
      </w:r>
      <w:r>
        <w:rPr>
          <w:rFonts w:hint="eastAsia" w:ascii="仿宋" w:hAnsi="仿宋" w:eastAsia="仿宋" w:cs="仿宋"/>
          <w:kern w:val="0"/>
          <w:sz w:val="28"/>
          <w:szCs w:val="28"/>
        </w:rPr>
        <w:t>万元，本着“少花钱、多办事、办好事”的原则，严格控制办公经费的支出，办公经费控制率为100%（办公经费控制率＝办公经费支出数/办公经费预算数）。</w:t>
      </w:r>
    </w:p>
    <w:p w14:paraId="7636A023">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2、效率性分析。根据部门整体支出目标，我</w:t>
      </w:r>
      <w:r>
        <w:rPr>
          <w:rFonts w:hint="eastAsia" w:ascii="仿宋" w:hAnsi="仿宋" w:eastAsia="仿宋" w:cs="仿宋"/>
          <w:kern w:val="0"/>
          <w:sz w:val="28"/>
          <w:szCs w:val="28"/>
          <w:lang w:eastAsia="zh-CN"/>
        </w:rPr>
        <w:t>校</w:t>
      </w:r>
      <w:r>
        <w:rPr>
          <w:rFonts w:hint="eastAsia" w:ascii="仿宋" w:hAnsi="仿宋" w:eastAsia="仿宋" w:cs="仿宋"/>
          <w:kern w:val="0"/>
          <w:sz w:val="28"/>
          <w:szCs w:val="28"/>
        </w:rPr>
        <w:t>及时进行任务分工，进一步完善了财务制度，使财政收支预算执行得到了良好的制度保障和实施效果。工作任务完成率100%。</w:t>
      </w:r>
    </w:p>
    <w:p w14:paraId="79578DFF">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3.效益性分析。我</w:t>
      </w:r>
      <w:r>
        <w:rPr>
          <w:rFonts w:hint="eastAsia" w:ascii="仿宋" w:hAnsi="仿宋" w:eastAsia="仿宋" w:cs="仿宋"/>
          <w:kern w:val="0"/>
          <w:sz w:val="28"/>
          <w:szCs w:val="28"/>
          <w:lang w:eastAsia="zh-CN"/>
        </w:rPr>
        <w:t>校</w:t>
      </w:r>
      <w:r>
        <w:rPr>
          <w:rFonts w:hint="eastAsia" w:ascii="仿宋" w:hAnsi="仿宋" w:eastAsia="仿宋" w:cs="仿宋"/>
          <w:kern w:val="0"/>
          <w:sz w:val="28"/>
          <w:szCs w:val="28"/>
        </w:rPr>
        <w:t>围绕</w:t>
      </w:r>
      <w:r>
        <w:rPr>
          <w:rFonts w:hint="eastAsia" w:ascii="仿宋" w:hAnsi="仿宋" w:eastAsia="仿宋" w:cs="仿宋"/>
          <w:kern w:val="0"/>
          <w:sz w:val="28"/>
          <w:szCs w:val="28"/>
          <w:lang w:eastAsia="zh-CN"/>
        </w:rPr>
        <w:t>教育事业</w:t>
      </w:r>
      <w:r>
        <w:rPr>
          <w:rFonts w:hint="eastAsia" w:ascii="仿宋" w:hAnsi="仿宋" w:eastAsia="仿宋" w:cs="仿宋"/>
          <w:kern w:val="0"/>
          <w:sz w:val="28"/>
          <w:szCs w:val="28"/>
        </w:rPr>
        <w:t>质量提升等工作目标，不断进行结构调整和创新的能力，实现“</w:t>
      </w:r>
      <w:r>
        <w:rPr>
          <w:rFonts w:hint="eastAsia" w:ascii="仿宋" w:hAnsi="仿宋" w:eastAsia="仿宋" w:cs="仿宋"/>
          <w:kern w:val="0"/>
          <w:sz w:val="28"/>
          <w:szCs w:val="28"/>
          <w:lang w:eastAsia="zh-CN"/>
        </w:rPr>
        <w:t>江永教育质量大提升</w:t>
      </w:r>
      <w:r>
        <w:rPr>
          <w:rFonts w:hint="eastAsia" w:ascii="仿宋" w:hAnsi="仿宋" w:eastAsia="仿宋" w:cs="仿宋"/>
          <w:kern w:val="0"/>
          <w:sz w:val="28"/>
          <w:szCs w:val="28"/>
        </w:rPr>
        <w:t>”目标。</w:t>
      </w:r>
    </w:p>
    <w:p w14:paraId="0E97DDAD">
      <w:pPr>
        <w:spacing w:line="600" w:lineRule="exact"/>
        <w:ind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rPr>
        <w:t>（五）综合评价情况及评价结论</w:t>
      </w:r>
    </w:p>
    <w:p w14:paraId="1A5AA257">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我</w:t>
      </w:r>
      <w:r>
        <w:rPr>
          <w:rFonts w:hint="eastAsia" w:ascii="仿宋" w:hAnsi="仿宋" w:eastAsia="仿宋" w:cs="仿宋"/>
          <w:kern w:val="0"/>
          <w:sz w:val="28"/>
          <w:szCs w:val="28"/>
          <w:lang w:eastAsia="zh-CN"/>
        </w:rPr>
        <w:t>校</w:t>
      </w:r>
      <w:r>
        <w:rPr>
          <w:rFonts w:hint="eastAsia" w:ascii="仿宋" w:hAnsi="仿宋" w:eastAsia="仿宋" w:cs="仿宋"/>
          <w:kern w:val="0"/>
          <w:sz w:val="28"/>
          <w:szCs w:val="28"/>
        </w:rPr>
        <w:t>部门整体支出资金使用和管理中，实际支出与计划规定的用途一致，</w:t>
      </w:r>
      <w:r>
        <w:rPr>
          <w:rFonts w:hint="eastAsia" w:ascii="仿宋" w:hAnsi="仿宋" w:eastAsia="仿宋" w:cs="仿宋"/>
          <w:kern w:val="0"/>
          <w:sz w:val="28"/>
          <w:szCs w:val="28"/>
          <w:lang w:eastAsia="zh-CN"/>
        </w:rPr>
        <w:t>项目资金</w:t>
      </w:r>
      <w:r>
        <w:rPr>
          <w:rFonts w:hint="eastAsia" w:ascii="仿宋" w:hAnsi="仿宋" w:eastAsia="仿宋" w:cs="仿宋"/>
          <w:kern w:val="0"/>
          <w:sz w:val="28"/>
          <w:szCs w:val="28"/>
        </w:rPr>
        <w:t>因县财政资金困难尚未支付。资金使用都能做到公开、公平，按程序上报和审批。财务制度健全，财务信息真实完整，无截留、挤占、挪用等违规行为。根据《 县级预算支出绩效评价管理办法》的评价内容和指标，对我</w:t>
      </w:r>
      <w:r>
        <w:rPr>
          <w:rFonts w:hint="eastAsia" w:ascii="仿宋" w:hAnsi="仿宋" w:eastAsia="仿宋" w:cs="仿宋"/>
          <w:kern w:val="0"/>
          <w:sz w:val="28"/>
          <w:szCs w:val="28"/>
          <w:lang w:eastAsia="zh-CN"/>
        </w:rPr>
        <w:t>校</w:t>
      </w:r>
      <w:r>
        <w:rPr>
          <w:rFonts w:hint="eastAsia" w:ascii="仿宋" w:hAnsi="仿宋" w:eastAsia="仿宋" w:cs="仿宋"/>
          <w:kern w:val="0"/>
          <w:sz w:val="28"/>
          <w:szCs w:val="28"/>
        </w:rPr>
        <w:t>部门整体支出资金绩效自评得分为</w:t>
      </w:r>
      <w:r>
        <w:rPr>
          <w:rFonts w:hint="eastAsia" w:ascii="仿宋" w:hAnsi="仿宋" w:eastAsia="仿宋" w:cs="仿宋"/>
          <w:kern w:val="0"/>
          <w:sz w:val="28"/>
          <w:szCs w:val="28"/>
          <w:lang w:val="en-US" w:eastAsia="zh-CN"/>
        </w:rPr>
        <w:t>100</w:t>
      </w:r>
      <w:r>
        <w:rPr>
          <w:rFonts w:hint="eastAsia" w:ascii="仿宋" w:hAnsi="仿宋" w:eastAsia="仿宋" w:cs="仿宋"/>
          <w:kern w:val="0"/>
          <w:sz w:val="28"/>
          <w:szCs w:val="28"/>
        </w:rPr>
        <w:t>分。</w:t>
      </w:r>
    </w:p>
    <w:p w14:paraId="7F06945C">
      <w:pPr>
        <w:spacing w:line="600" w:lineRule="exact"/>
        <w:ind w:firstLine="602" w:firstLineChars="200"/>
        <w:rPr>
          <w:rFonts w:hint="eastAsia" w:ascii="仿宋" w:hAnsi="仿宋" w:eastAsia="仿宋" w:cs="仿宋"/>
          <w:b/>
          <w:bCs/>
          <w:kern w:val="0"/>
          <w:sz w:val="30"/>
          <w:szCs w:val="30"/>
        </w:rPr>
      </w:pPr>
      <w:r>
        <w:rPr>
          <w:rFonts w:hint="eastAsia" w:ascii="仿宋" w:hAnsi="仿宋" w:eastAsia="仿宋" w:cs="仿宋"/>
          <w:b/>
          <w:bCs/>
          <w:kern w:val="0"/>
          <w:sz w:val="30"/>
          <w:szCs w:val="30"/>
        </w:rPr>
        <w:t>四、自评实施存在的问题和改进措施</w:t>
      </w:r>
    </w:p>
    <w:p w14:paraId="7C01F467">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根据绩效评价工作要求，我们成立了自评工作领导小组，对自评实施工作方案进行了认真的</w:t>
      </w:r>
      <w:bookmarkStart w:id="0" w:name="_GoBack"/>
      <w:bookmarkEnd w:id="0"/>
      <w:r>
        <w:rPr>
          <w:rFonts w:hint="eastAsia" w:ascii="仿宋" w:hAnsi="仿宋" w:eastAsia="仿宋" w:cs="仿宋"/>
          <w:kern w:val="0"/>
          <w:sz w:val="28"/>
          <w:szCs w:val="28"/>
        </w:rPr>
        <w:t>研究和布置，使自评工作得以顺利开展，取得了较好的效果。但仍存在问题：1、在对定性指标的主裁判议上，由于评价内容较宏观，所以部分参与评价的人员不能客观地对本部门的绩效进行评价；2、年度预算不精细。鉴于此，明年的绩效评价工作我们将根据定性指标的内容设置一些具体明细的项目进行部门之间互评，以使定性指标的评议更客观和具参考价值。</w:t>
      </w:r>
    </w:p>
    <w:p w14:paraId="6AE45A5C">
      <w:pPr>
        <w:numPr>
          <w:ilvl w:val="0"/>
          <w:numId w:val="1"/>
        </w:numPr>
        <w:spacing w:line="600" w:lineRule="exact"/>
        <w:ind w:firstLine="602" w:firstLineChars="200"/>
        <w:rPr>
          <w:rFonts w:hint="eastAsia" w:ascii="仿宋" w:hAnsi="仿宋" w:eastAsia="仿宋" w:cs="仿宋"/>
          <w:kern w:val="0"/>
          <w:sz w:val="28"/>
          <w:szCs w:val="28"/>
        </w:rPr>
      </w:pPr>
      <w:r>
        <w:rPr>
          <w:rFonts w:hint="eastAsia" w:ascii="仿宋" w:hAnsi="仿宋" w:eastAsia="仿宋" w:cs="仿宋"/>
          <w:b/>
          <w:bCs/>
          <w:kern w:val="0"/>
          <w:sz w:val="30"/>
          <w:szCs w:val="30"/>
        </w:rPr>
        <w:t>绩效评价结果应用建议</w:t>
      </w:r>
    </w:p>
    <w:p w14:paraId="3CFE92E8">
      <w:pPr>
        <w:numPr>
          <w:ilvl w:val="0"/>
          <w:numId w:val="0"/>
        </w:num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2024年起，年度预算中增</w:t>
      </w:r>
      <w:r>
        <w:rPr>
          <w:rFonts w:hint="eastAsia" w:ascii="仿宋" w:hAnsi="仿宋" w:eastAsia="仿宋" w:cs="仿宋"/>
          <w:kern w:val="0"/>
          <w:sz w:val="28"/>
          <w:szCs w:val="28"/>
          <w:lang w:eastAsia="zh-CN"/>
        </w:rPr>
        <w:t>加学校教育</w:t>
      </w:r>
      <w:r>
        <w:rPr>
          <w:rFonts w:hint="eastAsia" w:ascii="仿宋" w:hAnsi="仿宋" w:eastAsia="仿宋" w:cs="仿宋"/>
          <w:kern w:val="0"/>
          <w:sz w:val="28"/>
          <w:szCs w:val="28"/>
        </w:rPr>
        <w:t>资金投入。</w:t>
      </w:r>
    </w:p>
    <w:p w14:paraId="6AA54AB5">
      <w:pPr>
        <w:wordWrap w:val="0"/>
        <w:spacing w:line="600" w:lineRule="exact"/>
        <w:jc w:val="right"/>
        <w:rPr>
          <w:rFonts w:hint="eastAsia" w:ascii="仿宋" w:hAnsi="仿宋" w:eastAsia="仿宋" w:cs="仿宋"/>
          <w:kern w:val="0"/>
          <w:sz w:val="28"/>
          <w:szCs w:val="28"/>
        </w:rPr>
      </w:pPr>
      <w:r>
        <w:rPr>
          <w:rFonts w:hint="eastAsia" w:ascii="仿宋" w:hAnsi="仿宋" w:eastAsia="仿宋" w:cs="仿宋"/>
          <w:kern w:val="0"/>
          <w:sz w:val="28"/>
          <w:szCs w:val="28"/>
        </w:rPr>
        <w:t xml:space="preserve">           江永</w:t>
      </w:r>
      <w:r>
        <w:rPr>
          <w:rFonts w:hint="eastAsia" w:ascii="仿宋" w:hAnsi="仿宋" w:eastAsia="仿宋" w:cs="仿宋"/>
          <w:kern w:val="0"/>
          <w:sz w:val="28"/>
          <w:szCs w:val="28"/>
          <w:lang w:eastAsia="zh-CN"/>
        </w:rPr>
        <w:t>民族中学</w:t>
      </w:r>
      <w:r>
        <w:rPr>
          <w:rFonts w:hint="eastAsia" w:ascii="仿宋" w:hAnsi="仿宋" w:eastAsia="仿宋" w:cs="仿宋"/>
          <w:kern w:val="0"/>
          <w:sz w:val="28"/>
          <w:szCs w:val="28"/>
        </w:rPr>
        <w:t xml:space="preserve">  </w:t>
      </w:r>
    </w:p>
    <w:p w14:paraId="69118F23">
      <w:pPr>
        <w:spacing w:line="600" w:lineRule="exact"/>
        <w:jc w:val="right"/>
        <w:rPr>
          <w:rFonts w:hint="eastAsia" w:ascii="仿宋" w:hAnsi="仿宋" w:eastAsia="仿宋" w:cs="仿宋"/>
          <w:kern w:val="0"/>
          <w:sz w:val="28"/>
          <w:szCs w:val="28"/>
        </w:rPr>
      </w:pPr>
      <w:r>
        <w:rPr>
          <w:rFonts w:hint="eastAsia" w:ascii="仿宋" w:hAnsi="仿宋" w:eastAsia="仿宋" w:cs="仿宋"/>
          <w:kern w:val="0"/>
          <w:sz w:val="28"/>
          <w:szCs w:val="28"/>
        </w:rPr>
        <w:t xml:space="preserve">                          2024年</w:t>
      </w:r>
      <w:r>
        <w:rPr>
          <w:rFonts w:hint="eastAsia" w:ascii="仿宋" w:hAnsi="仿宋" w:eastAsia="仿宋" w:cs="仿宋"/>
          <w:kern w:val="0"/>
          <w:sz w:val="28"/>
          <w:szCs w:val="28"/>
          <w:lang w:val="en-US" w:eastAsia="zh-CN"/>
        </w:rPr>
        <w:t>3</w:t>
      </w:r>
      <w:r>
        <w:rPr>
          <w:rFonts w:hint="eastAsia" w:ascii="仿宋" w:hAnsi="仿宋" w:eastAsia="仿宋" w:cs="仿宋"/>
          <w:kern w:val="0"/>
          <w:sz w:val="28"/>
          <w:szCs w:val="28"/>
        </w:rPr>
        <w:t>月22日</w:t>
      </w:r>
    </w:p>
    <w:p w14:paraId="2515E357"/>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61AF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CE7715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7CE7715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C32A45"/>
    <w:multiLevelType w:val="singleLevel"/>
    <w:tmpl w:val="78C32A45"/>
    <w:lvl w:ilvl="0" w:tentative="0">
      <w:start w:val="5"/>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1M2ZmMGExZWI3OWU4ZGJjNWJkNGNmOGRjZmM5MmYifQ=="/>
  </w:docVars>
  <w:rsids>
    <w:rsidRoot w:val="7E96401B"/>
    <w:rsid w:val="7E964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2024-10-08T08:43:00Z</dcterms:created>
  <dc:creator>何海龙</dc:creator>
  <cp:lastModifiedBy>何海龙</cp:lastModifiedBy>
  <dcterms:modified xsi:type="dcterms:W3CDTF">2024-10-08T08:44:20Z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F11771ABE4664465B11A1F5EC13825B8_11</vt:lpwstr>
  </property>
</Properties>
</file>